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05803" w14:textId="24FE6100" w:rsidR="00810A16" w:rsidRPr="000C1484" w:rsidRDefault="00810A16" w:rsidP="00815D71">
      <w:pPr>
        <w:spacing w:before="120" w:after="0" w:line="240" w:lineRule="auto"/>
        <w:contextualSpacing/>
        <w:jc w:val="both"/>
        <w:rPr>
          <w:rFonts w:ascii="Century Gothic" w:eastAsia="Times New Roman" w:hAnsi="Century Gothic" w:cs="Times New Roman"/>
          <w:sz w:val="24"/>
          <w:szCs w:val="24"/>
          <w:lang w:eastAsia="pl-PL"/>
        </w:rPr>
      </w:pPr>
      <w:r w:rsidRPr="000C1484">
        <w:rPr>
          <w:rFonts w:ascii="Century Gothic" w:eastAsia="Times New Roman" w:hAnsi="Century Gothic" w:cs="Times New Roman"/>
          <w:b/>
          <w:bCs/>
          <w:sz w:val="24"/>
          <w:szCs w:val="24"/>
          <w:lang w:eastAsia="pl-PL"/>
        </w:rPr>
        <w:t>Zał. nr</w:t>
      </w:r>
      <w:r w:rsidR="00D45004" w:rsidRPr="000C1484">
        <w:rPr>
          <w:rFonts w:ascii="Century Gothic" w:eastAsia="Times New Roman" w:hAnsi="Century Gothic" w:cs="Times New Roman"/>
          <w:b/>
          <w:bCs/>
          <w:sz w:val="24"/>
          <w:szCs w:val="24"/>
          <w:lang w:eastAsia="pl-PL"/>
        </w:rPr>
        <w:t xml:space="preserve"> </w:t>
      </w:r>
      <w:r w:rsidR="000F1D06" w:rsidRPr="000C1484">
        <w:rPr>
          <w:rFonts w:ascii="Century Gothic" w:eastAsia="Times New Roman" w:hAnsi="Century Gothic" w:cs="Times New Roman"/>
          <w:b/>
          <w:bCs/>
          <w:sz w:val="24"/>
          <w:szCs w:val="24"/>
          <w:lang w:eastAsia="pl-PL"/>
        </w:rPr>
        <w:t>1.</w:t>
      </w:r>
      <w:r w:rsidR="009301C6" w:rsidRPr="000C1484">
        <w:rPr>
          <w:rFonts w:ascii="Century Gothic" w:eastAsia="Times New Roman" w:hAnsi="Century Gothic" w:cs="Times New Roman"/>
          <w:b/>
          <w:bCs/>
          <w:sz w:val="24"/>
          <w:szCs w:val="24"/>
          <w:lang w:eastAsia="pl-PL"/>
        </w:rPr>
        <w:t>4</w:t>
      </w:r>
      <w:r w:rsidR="00A061C4" w:rsidRPr="000C1484">
        <w:rPr>
          <w:rFonts w:ascii="Century Gothic" w:eastAsia="Times New Roman" w:hAnsi="Century Gothic" w:cs="Times New Roman"/>
          <w:b/>
          <w:bCs/>
          <w:sz w:val="24"/>
          <w:szCs w:val="24"/>
          <w:lang w:eastAsia="pl-PL"/>
        </w:rPr>
        <w:t xml:space="preserve"> </w:t>
      </w:r>
      <w:r w:rsidRPr="000C1484">
        <w:rPr>
          <w:rFonts w:ascii="Century Gothic" w:eastAsia="Times New Roman" w:hAnsi="Century Gothic" w:cs="Times New Roman"/>
          <w:b/>
          <w:bCs/>
          <w:sz w:val="24"/>
          <w:szCs w:val="24"/>
          <w:lang w:eastAsia="pl-PL"/>
        </w:rPr>
        <w:t>do OPZ</w:t>
      </w:r>
    </w:p>
    <w:p w14:paraId="61548B33" w14:textId="77777777" w:rsidR="00A061C4" w:rsidRPr="000C1484" w:rsidRDefault="00A061C4" w:rsidP="007B0BE0">
      <w:pPr>
        <w:spacing w:after="0" w:line="240" w:lineRule="auto"/>
        <w:ind w:left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75AD38B6" w14:textId="393C8203" w:rsidR="0089631E" w:rsidRPr="000C1484" w:rsidRDefault="0089631E" w:rsidP="007B0BE0">
      <w:pPr>
        <w:spacing w:after="0" w:line="240" w:lineRule="auto"/>
        <w:ind w:left="567"/>
        <w:contextualSpacing/>
        <w:jc w:val="both"/>
        <w:rPr>
          <w:rFonts w:ascii="Century Gothic" w:eastAsia="Times New Roman" w:hAnsi="Century Gothic" w:cs="Times New Roman"/>
          <w:sz w:val="28"/>
          <w:szCs w:val="28"/>
          <w:lang w:eastAsia="pl-PL"/>
        </w:rPr>
      </w:pPr>
      <w:r w:rsidRPr="000C1484">
        <w:rPr>
          <w:rFonts w:ascii="Century Gothic" w:eastAsia="Times New Roman" w:hAnsi="Century Gothic" w:cs="Times New Roman"/>
          <w:sz w:val="28"/>
          <w:szCs w:val="28"/>
          <w:lang w:eastAsia="pl-PL"/>
        </w:rPr>
        <w:t xml:space="preserve">Wymagania Zamawiającego dotyczące obsługi </w:t>
      </w:r>
      <w:r w:rsidR="00520D7A" w:rsidRPr="000C1484">
        <w:rPr>
          <w:rFonts w:ascii="Century Gothic" w:eastAsia="Times New Roman" w:hAnsi="Century Gothic" w:cs="Times New Roman"/>
          <w:sz w:val="28"/>
          <w:szCs w:val="28"/>
          <w:lang w:eastAsia="pl-PL"/>
        </w:rPr>
        <w:t>geodezyjnej</w:t>
      </w:r>
      <w:r w:rsidRPr="000C1484">
        <w:rPr>
          <w:rFonts w:ascii="Century Gothic" w:eastAsia="Times New Roman" w:hAnsi="Century Gothic" w:cs="Times New Roman"/>
          <w:sz w:val="28"/>
          <w:szCs w:val="28"/>
          <w:lang w:eastAsia="pl-PL"/>
        </w:rPr>
        <w:t xml:space="preserve">: </w:t>
      </w:r>
    </w:p>
    <w:p w14:paraId="1165A537" w14:textId="77777777" w:rsidR="00810A16" w:rsidRPr="000C1484" w:rsidRDefault="00810A16" w:rsidP="00305C5F">
      <w:pPr>
        <w:spacing w:after="0" w:line="240" w:lineRule="auto"/>
        <w:ind w:left="1778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037FF5A4" w14:textId="5A32B5F0" w:rsidR="0089631E" w:rsidRPr="000C1484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Dla zadań zleconych, które w swoim zakresie obejmują zakres wznowienia znaków granicznych, Wykonawca wykona prace geodezyjne polegające na wykonaniu przedmiotowych czynności łącznie ze zgłoszeniem prac w Ośrodku Dokumentacji Geodezyjno-Kartograficznym.</w:t>
      </w:r>
    </w:p>
    <w:p w14:paraId="5EFF5311" w14:textId="4DDC14E5" w:rsidR="0089631E" w:rsidRPr="000C1484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zadań, których nie można zrealizować w jednym etapie Wykonawca zapewni, iż obsługa geodezyjna będzie przeprowadzana etapowo zgodnie z przyjętym harmonogramem prac budowlanych dla przedmiotowych zadań. Zagadnienie to dotyczy wytyczenia jak i pomiaru powykonawczego zgłaszanego przez </w:t>
      </w:r>
      <w:r w:rsidR="00B25D49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ykonawcę prac budowlanych lub Zamawiającego.</w:t>
      </w:r>
    </w:p>
    <w:p w14:paraId="04229FC0" w14:textId="77777777" w:rsidR="0089631E" w:rsidRPr="000C1484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Wytyczeniu podlegać będą wszystkie elementy realizowane w danym zadaniu z uwzględnieniem także takich elementów jak:</w:t>
      </w:r>
    </w:p>
    <w:p w14:paraId="3F5743CB" w14:textId="77777777" w:rsidR="0089631E" w:rsidRPr="000C1484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szerokość pasa robót montażowych, </w:t>
      </w:r>
    </w:p>
    <w:p w14:paraId="11D0A1AF" w14:textId="77777777" w:rsidR="0089631E" w:rsidRPr="000C1484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zmiana grubości ścianki, </w:t>
      </w:r>
    </w:p>
    <w:p w14:paraId="0BD76F60" w14:textId="11A6C88A" w:rsidR="0089631E" w:rsidRPr="000C1484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obciążniki,  </w:t>
      </w:r>
    </w:p>
    <w:p w14:paraId="46682196" w14:textId="057753B2" w:rsidR="00FD76B0" w:rsidRPr="000C1484" w:rsidRDefault="00FD76B0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kompensatory,</w:t>
      </w:r>
    </w:p>
    <w:p w14:paraId="31431B07" w14:textId="77777777" w:rsidR="00A061C4" w:rsidRPr="000C1484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skrzyżowania z obcymi sieciami wraz z znacznikami (np. EMS), </w:t>
      </w:r>
    </w:p>
    <w:p w14:paraId="0147019A" w14:textId="0F1A6225" w:rsidR="00FD76B0" w:rsidRPr="000C1484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wszystkie inne elementy, które wymagają tyczenia w trakcie  prac budowlano-montażowych, które nie mogą być prawidłowo usytuowane bez pomiarów geodezyjnych, a które zgłosi </w:t>
      </w:r>
      <w:r w:rsidR="00B25D49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ykonawca robót budowlanych lub Zamawiający. </w:t>
      </w:r>
    </w:p>
    <w:p w14:paraId="4B1DB440" w14:textId="743B2206" w:rsidR="0089631E" w:rsidRPr="000C1484" w:rsidRDefault="0089631E" w:rsidP="00305C5F">
      <w:pPr>
        <w:numPr>
          <w:ilvl w:val="0"/>
          <w:numId w:val="2"/>
        </w:numPr>
        <w:spacing w:after="0" w:line="240" w:lineRule="auto"/>
        <w:ind w:left="567" w:hanging="283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 </w:t>
      </w:r>
      <w:r w:rsidR="00520D7A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zrealizowaniu</w:t>
      </w:r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wytyczenia Wykonawca wykona dokumentację wytyczenia szczegółów (szkice), która sporządzona zostanie na postawie dokumentacji projektowej</w:t>
      </w:r>
      <w:r w:rsidR="00FD76B0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(o ile występuje)</w:t>
      </w:r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wyników wykonanego tyczenia  i będzie dołączona wraz z odpowiednim wpisem do dziennika budowy. </w:t>
      </w:r>
    </w:p>
    <w:p w14:paraId="2EB38CAF" w14:textId="0233EDD4" w:rsidR="007B0BE0" w:rsidRPr="000C148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Dla obiektów </w:t>
      </w:r>
      <w:r w:rsidR="19CD85C3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liniowych</w:t>
      </w:r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takich jak: gazociągi, przewody elektroenergetyczne, przewody ochrony antykorozyjnej, przewody telemetryczne, itp., jeśli zajdzie taka konieczność, Wykonawca na wniosek Zamawiającego zobligowany będzie na etapie budowy do określenia rzeczywistej powierzchni pasa montażowego w odniesieniu do granic władania przedmiotowych nieruchomości zgodnych z ewidencją gruntów i budynków oraz do podania długości przedmiotowych obiektów liniowych w omawianym pasie. Obliczona i podana długość oraz powierzchnia  wyznaczonego obszaru odniesiona do obiektów liniowych po wybudowaniu posłużą  do naliczenia i wypłaty odszkodowań za zajęcie pasa montażowego.</w:t>
      </w:r>
    </w:p>
    <w:p w14:paraId="5013894E" w14:textId="77777777" w:rsidR="00A061C4" w:rsidRPr="000C148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Preferowaną formą klauzuli map papierowych będzie klauzula urzędowa w rozumieniu ustawy Prawo Geodezyjne i Kartograficzne.</w:t>
      </w:r>
    </w:p>
    <w:p w14:paraId="2128374E" w14:textId="1D377CF7" w:rsidR="00A061C4" w:rsidRPr="000C148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przewiertów sterowanych przebieg sieci gazowej należy umieścić z odpowiednią adnotacją na mapie w Ośrodku Dokumentacji Geodezyjnej i Kartograficznej i branżowej mapie hybrydowej na podstawie danych otrzymanych od </w:t>
      </w:r>
      <w:r w:rsidR="00B25D49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ykonawcy danego przewiertu.</w:t>
      </w:r>
    </w:p>
    <w:p w14:paraId="5548F6D8" w14:textId="77777777" w:rsidR="00A061C4" w:rsidRPr="000C148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Konieczne jest zaznaczenie na numerycznej mapie branżowej Zamawiającego we właściwej lokalizacji wszystkich połączeń spawanych, także tych odcinków, które były wykonywane metodą </w:t>
      </w:r>
      <w:proofErr w:type="spellStart"/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bezwykopową</w:t>
      </w:r>
      <w:proofErr w:type="spellEnd"/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Dla przedmiotowych odcinków nanieść położenie spoin wykorzystując dziennik spawania i dane w nim zawarte.  </w:t>
      </w:r>
    </w:p>
    <w:p w14:paraId="7599E7E1" w14:textId="77777777" w:rsidR="00A061C4" w:rsidRPr="000C148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Dla gazociągów na powykonawczej mapie wektorowej należy umieścić informację na temat klasy lokalizacji wraz z podaniem roku jej ustalenia. Klasa lokalizacji zostanie przedstawiona jako symbol branżowy za pomocą linii prostopadłej do gazociągu wraz z opisem słownym. Adnotacja zostanie umieszczona bezpośrednio nad przedmiotowym gazociągiem i będzie zawierać nazwę klasy. Symbol wraz z opisem odnośnie klasy lokalizacji należy umieszczać co 500 m w pasie gazociągu oraz na jej początku i końcu z uwzględnieniem klas sąsiednich.</w:t>
      </w:r>
    </w:p>
    <w:p w14:paraId="40C3B248" w14:textId="48848FC4" w:rsidR="00A061C4" w:rsidRPr="000C1484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obiektów liniowych takich jak gazociąg, światłowód  Wykonawca zobligowany  </w:t>
      </w:r>
      <w:r w:rsidR="19CD85C3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jest </w:t>
      </w:r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do podawania w zestawieniu tabelarycznym długość gazociągu w </w:t>
      </w:r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>podziale na obręby, gminy i powiaty w rozróżnieniu na odległości przestrzenne i zredukowane. Długości należy podawać w układzie współrzędnych 2000 w odpowiedniej strefie</w:t>
      </w:r>
      <w:r w:rsidR="00B25D49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(w metrach)</w:t>
      </w:r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</w:t>
      </w:r>
    </w:p>
    <w:p w14:paraId="1E92A303" w14:textId="6DE79451" w:rsidR="00A061C4" w:rsidRPr="000C1484" w:rsidRDefault="0089631E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Każdorazowo na żądanie </w:t>
      </w:r>
      <w:r w:rsidR="00B25D49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robót budowlanych lub Zamawiającego, w wyniku wykonania inwentaryzacji, Wykonawca przekaże geodezyjne szkice powykonawcze </w:t>
      </w:r>
      <w:r w:rsidR="00B25D49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robót budowlanych nie później niż następnego dnia roboczego. Przedmiotowe szkice powykonawcze, obejmujące zinwentaryzowany obszar wraz ze wszystkimi elementami zgłoszonymi do inwentaryzacji, będą zawierały także dane liczbowe wraz z miarami kontrolnymi, które niezbędne będą </w:t>
      </w:r>
      <w:r w:rsidR="00B25D49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prac budowlanych lub Zamawiającemu do zakończenia kolejnych etapów realizowanych prac. </w:t>
      </w:r>
    </w:p>
    <w:p w14:paraId="601DDE18" w14:textId="77777777" w:rsidR="00A061C4" w:rsidRPr="000C1484" w:rsidRDefault="0089631E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w ramach umowy zobligowany jest do umieszczania wszelkich redakcji mapowych na mapach zasadniczych poprzez umieszczanie nowych elementów na mapie bądź skorygowanie przebiegu błędnie naniesionej infrastruktury technicznej (elementów uzbrojenia technicznego i szczegółów sytuacyjnych) w opracowywanym pasie na wszystkich skalach mapowych prowadzonych przez Ośrodek Dokumentacji Geodezyjnej i Kartograficznej, na przykład dotyczy to sytuacji, w której Wykonawca przekaże </w:t>
      </w:r>
      <w:proofErr w:type="spellStart"/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zaklauzulowaną</w:t>
      </w:r>
      <w:proofErr w:type="spellEnd"/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mapę z Ośrodka Dokumentacji Geodezyjnej i Kartograficznej w skali 1:1 000, a w zasobie Ośrodka Dokumentacji Geodezyjnej i Kartograficznej prowadzona jest także mapa w skali 1: 500 lub na odwrót, jeśli przekaże mapę w skali 1: 500, a w Ośrodka Dokumentacji Geodezyjnej i Kartograficznej jest również prowadzona mapa w skali 1:1 000, nawet w sytuacji gdy takiej mapy Wykonawca z różnych względów nie otrzymał z Ośrodkow</w:t>
      </w:r>
      <w:r w:rsidR="000867CA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Dokumentacji Geodezyjnej i Kartograficznej. Potwierdzeniem poprawnie wykonanego zamówienia jest przekazanie </w:t>
      </w:r>
      <w:proofErr w:type="spellStart"/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zaklauzulowanej</w:t>
      </w:r>
      <w:proofErr w:type="spellEnd"/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mapy zasadniczej we wszystkich skalach prowadzonych przez Ośrodek Dokumentacji Geodezyjnej i Kartograficznej.</w:t>
      </w:r>
    </w:p>
    <w:p w14:paraId="47922170" w14:textId="77777777" w:rsidR="00A061C4" w:rsidRPr="000C1484" w:rsidRDefault="00282C7B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Z uwagi na prowadzoną Branżową Mapę Numeryczną,</w:t>
      </w:r>
      <w:r w:rsidR="005805CC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wymagane jest</w:t>
      </w:r>
      <w:r w:rsidR="00960BF9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aby jej zawartość w zakresie </w:t>
      </w:r>
      <w:r w:rsidR="00B737FC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posiadanej </w:t>
      </w:r>
      <w:r w:rsidR="00960BF9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infrastruktury </w:t>
      </w:r>
      <w:r w:rsidR="00B737FC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była zgodna </w:t>
      </w:r>
      <w:r w:rsidR="005805CC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="00B737FC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 zasobem mapowym w Ośrodku Dokumentacji Geodezyjnej </w:t>
      </w:r>
      <w:r w:rsidR="00E61E3D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="00B737FC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i Kartograficznej</w:t>
      </w:r>
      <w:r w:rsidR="005805CC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(tj. m. in. z Geodezyjną Ewidencją Sieci Uzbrojenia Terenu)</w:t>
      </w:r>
      <w:r w:rsidR="00E61E3D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B737FC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960BF9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  </w:t>
      </w:r>
      <w:r w:rsidR="00E61E3D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5805CC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związku z powyższym</w:t>
      </w:r>
      <w:r w:rsidR="004F2AB5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po zakończeniu zadania</w:t>
      </w:r>
      <w:r w:rsidR="001460FF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</w:t>
      </w:r>
      <w:r w:rsidR="005805CC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jeden egzemplarz mapy </w:t>
      </w:r>
      <w:r w:rsidR="00B737FC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należy </w:t>
      </w:r>
      <w:r w:rsidR="00A408EF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dostarc</w:t>
      </w:r>
      <w:r w:rsidR="005805CC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zyć w </w:t>
      </w:r>
      <w:r w:rsidR="00A408EF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wersji </w:t>
      </w:r>
      <w:proofErr w:type="spellStart"/>
      <w:r w:rsidR="00A408EF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analogowej-papierowej</w:t>
      </w:r>
      <w:proofErr w:type="spellEnd"/>
      <w:r w:rsidR="00A408EF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, po naniesieniu zmian w zasobie geodezyjnym</w:t>
      </w:r>
      <w:r w:rsidR="00EC29FB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A408EF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we właściwym Ośrodku Dokumentacji Geodezyjnej i Kartograficznej (także kolejowym) jako dowód wprowadzonej treści</w:t>
      </w:r>
      <w:r w:rsidR="001460FF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Mapę należy przekazać </w:t>
      </w:r>
      <w:r w:rsidR="003948B6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jako opracowanie </w:t>
      </w:r>
      <w:r w:rsidR="00317AAE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formacie A1 w </w:t>
      </w:r>
      <w:r w:rsidR="003948B6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podziale</w:t>
      </w:r>
      <w:r w:rsidR="00317AAE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sekcyjnym</w:t>
      </w:r>
      <w:r w:rsidR="003948B6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317AAE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w sk</w:t>
      </w:r>
      <w:r w:rsidR="003948B6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="00317AAE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li 1: 500. </w:t>
      </w:r>
      <w:r w:rsidR="00A408EF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Przedmiotowe opracowanie można przekazać np. w formie mapy do celów opiniodawczych</w:t>
      </w:r>
      <w:r w:rsidR="00317AAE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</w:p>
    <w:p w14:paraId="3DA0100B" w14:textId="77777777" w:rsidR="00A061C4" w:rsidRPr="000C1484" w:rsidRDefault="00D4064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6A6337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wyniku </w:t>
      </w:r>
      <w:r w:rsidR="007A3E57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zaistniałej </w:t>
      </w:r>
      <w:r w:rsidR="006A6337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potrzeby wykonawcy robót budowlanych</w:t>
      </w:r>
      <w:r w:rsidR="00A3337D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A6337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bądź Zamawiającego</w:t>
      </w:r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geodezyjny po zakończeniu prac w terenie</w:t>
      </w:r>
      <w:r w:rsidR="006A6337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zobowiązany będzie</w:t>
      </w:r>
      <w:r w:rsidR="00A3337D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A6337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terminie do 2 tygodni do przekazania geodezyjnej dokumentacji powykonawczej </w:t>
      </w:r>
      <w:r w:rsidR="00A3337D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tym:  </w:t>
      </w:r>
      <w:r w:rsidR="006A6337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mapy powykonawczej </w:t>
      </w:r>
      <w:r w:rsidR="007A3E57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(</w:t>
      </w:r>
      <w:r w:rsidR="006A6337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bez </w:t>
      </w:r>
      <w:r w:rsidR="007A3E57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konieczności </w:t>
      </w:r>
      <w:r w:rsidR="006A6337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stosownej klauzuli  </w:t>
      </w:r>
      <w:r w:rsidR="007A3E57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z z</w:t>
      </w:r>
      <w:r w:rsidR="006A6337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asobu </w:t>
      </w:r>
      <w:r w:rsidR="007A3E57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g</w:t>
      </w:r>
      <w:r w:rsidR="006A6337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eodezyjnego</w:t>
      </w:r>
      <w:r w:rsidR="007A3E57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)</w:t>
      </w:r>
      <w:r w:rsidR="006A6337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innych materiałów: np. szkiców pomiarowych,   wykazów współrzędnych, lub oświadczeń</w:t>
      </w:r>
      <w:r w:rsidR="0055688C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. P</w:t>
      </w:r>
      <w:r w:rsidR="00A3337D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rzedmiotowe </w:t>
      </w:r>
      <w:r w:rsidR="006A6337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materiały, posłużą do uzyskania stosownych dokumentów umożliwiających </w:t>
      </w:r>
      <w:r w:rsidR="00D55C39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m. in. </w:t>
      </w:r>
      <w:r w:rsidR="006A6337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otrzymanie zgodny na użytkownie zrealizowanych obiektów.   </w:t>
      </w:r>
    </w:p>
    <w:p w14:paraId="75F56B59" w14:textId="6C62E440" w:rsidR="00270836" w:rsidRPr="000C1484" w:rsidRDefault="00D14DB0" w:rsidP="00270836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Dla następujących obiektów: stacja gazowa,  tłocznia, punkt pomiarowy, zespół zaporowo-upustowy, węzeł gazowy,</w:t>
      </w:r>
      <w:r w:rsidR="00B25D49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należy dołączyć dokumentację zdjęciową, która zostanie wykonana dla całego obiektu, nawet w przypadku, gdy zleceniu podlega jedynie jego fragment. Przedmiotowa dokumentacja </w:t>
      </w:r>
      <w:r w:rsidR="00C57A9D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zdjęciowa </w:t>
      </w:r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powinna zostać wykonana  zgodnie z pkt</w:t>
      </w:r>
      <w:r w:rsidR="00573549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4 (Standardy danych pomocniczych) „Zasady pozyskiwania i przechowywania danych przestrzennych Operatora Gazociągów Przesyłowych GAZ-SYSTEM S.A.,” stanowiącego załącznik nr 4 do wymagań zawartych pn. „Instrukcja </w:t>
      </w:r>
      <w:bookmarkStart w:id="0" w:name="_Hlk69126031"/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w zakresie wymagań do projektowania infrastruktury systemu przesyłowego  Operatora Gazociągów Przesyłowych GAZ-SYSTEM S.A</w:t>
      </w:r>
      <w:bookmarkEnd w:id="0"/>
      <w:r w:rsidR="00807287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270836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; Instrukcja PE-DY-I02 w zakresie wymagań do projektowania infrastruktury systemu przesyłowego Operatora Gazociągów Przesyłowych GAZ-SYSTEM S.A. jest załącznikiem do Wykazu regulacji wewnętrznych Zamawiającego, stanowiącego załącznik nr 1.10 do OPZ.</w:t>
      </w:r>
    </w:p>
    <w:p w14:paraId="7CC299CA" w14:textId="6BBCAE21" w:rsidR="00270836" w:rsidRPr="000C1484" w:rsidRDefault="0089631E" w:rsidP="00037738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Szczegółowe wymagania</w:t>
      </w:r>
      <w:r w:rsidR="004278E3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dotyczące zagadnień  ujętych  w niniejszym </w:t>
      </w:r>
      <w:r w:rsidR="00651A2A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dokumencie</w:t>
      </w:r>
      <w:r w:rsidR="004278E3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znajdują się w załączniku nr 4 do </w:t>
      </w:r>
      <w:bookmarkStart w:id="1" w:name="_Hlk69130330"/>
      <w:r w:rsidR="004278E3" w:rsidRPr="000C1484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Instrukcji PE-DY-I02 w zakresie wymagań do </w:t>
      </w:r>
      <w:r w:rsidR="004278E3" w:rsidRPr="000C1484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lastRenderedPageBreak/>
        <w:t>projektowania infrastruktury systemu przesyłowego  Operatora Gazociągów Przesyłowych GAZ-SYSTEM S.A</w:t>
      </w:r>
      <w:r w:rsidR="00651A2A" w:rsidRPr="000C1484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.</w:t>
      </w:r>
      <w:bookmarkEnd w:id="1"/>
      <w:r w:rsidR="004278E3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</w:t>
      </w:r>
      <w:r w:rsidR="00651A2A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W wyniku prowadzenia prac</w:t>
      </w:r>
      <w:r w:rsidR="00033AC7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51A2A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geodezyjnych Wykonawca przekazuje materiały wymienione w punkcie dotyczącym przyjęci</w:t>
      </w:r>
      <w:r w:rsidR="00033AC7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="00651A2A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danych do zasobów GAZ-SYSTEM S.A., które zostały wskazane w załączniku nr 4 do </w:t>
      </w:r>
      <w:r w:rsidR="00651A2A" w:rsidRPr="000C1484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Instrukcji PE-DY-I02 w zakresie wymagań do projektowania infrastruktury systemu przesyłowego  Operatora Gazociągów Przesyłowych GAZ-SYSTEM S.A.</w:t>
      </w:r>
      <w:r w:rsidR="00651A2A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270836" w:rsidRPr="000C1484">
        <w:rPr>
          <w:rFonts w:ascii="Century Gothic" w:eastAsia="Times New Roman" w:hAnsi="Century Gothic" w:cs="Times New Roman"/>
          <w:sz w:val="20"/>
          <w:szCs w:val="20"/>
          <w:lang w:eastAsia="pl-PL"/>
        </w:rPr>
        <w:t>; Instrukcja PE-DY-I02 w zakresie wymagań do projektowania infrastruktury systemu przesyłowego Operatora Gazociągów Przesyłowych GAZ-SYSTEM S.A. jest załącznikiem do Wykazu regulacji wewnętrznych Zamawiającego, stanowiącego załącznik nr 1.10 do OPZ.</w:t>
      </w:r>
    </w:p>
    <w:p w14:paraId="14258C1E" w14:textId="02468209" w:rsidR="0049454C" w:rsidRPr="000C1484" w:rsidRDefault="0049454C" w:rsidP="00305C5F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</w:p>
    <w:p w14:paraId="65F74A91" w14:textId="5AF47877" w:rsidR="0049454C" w:rsidRPr="000C1484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</w:p>
    <w:p w14:paraId="6FBE4B43" w14:textId="725A47F7" w:rsidR="0049454C" w:rsidRPr="000C1484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</w:p>
    <w:p w14:paraId="0C87CE09" w14:textId="50F7FA1F" w:rsidR="0049454C" w:rsidRPr="000C1484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</w:p>
    <w:p w14:paraId="544362B5" w14:textId="382EA5BA" w:rsidR="0049454C" w:rsidRPr="000C1484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</w:p>
    <w:p w14:paraId="7098A097" w14:textId="2A55C0C2" w:rsidR="0049454C" w:rsidRPr="000C1484" w:rsidRDefault="0049454C" w:rsidP="007B0BE0">
      <w:pPr>
        <w:spacing w:after="0" w:line="240" w:lineRule="auto"/>
        <w:ind w:left="1134"/>
        <w:contextualSpacing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</w:p>
    <w:p w14:paraId="3758561F" w14:textId="3F5655C7" w:rsidR="00C20EA3" w:rsidRPr="000C1484" w:rsidRDefault="00C20EA3" w:rsidP="007B0BE0">
      <w:pPr>
        <w:spacing w:after="0" w:line="240" w:lineRule="auto"/>
        <w:ind w:left="1701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sectPr w:rsidR="00C20EA3" w:rsidRPr="000C14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F2F94" w14:textId="77777777" w:rsidR="00FD0BB5" w:rsidRDefault="00FD0BB5" w:rsidP="001868B6">
      <w:pPr>
        <w:spacing w:after="0" w:line="240" w:lineRule="auto"/>
      </w:pPr>
      <w:r>
        <w:separator/>
      </w:r>
    </w:p>
  </w:endnote>
  <w:endnote w:type="continuationSeparator" w:id="0">
    <w:p w14:paraId="02D6A97F" w14:textId="77777777" w:rsidR="00FD0BB5" w:rsidRDefault="00FD0BB5" w:rsidP="001868B6">
      <w:pPr>
        <w:spacing w:after="0" w:line="240" w:lineRule="auto"/>
      </w:pPr>
      <w:r>
        <w:continuationSeparator/>
      </w:r>
    </w:p>
  </w:endnote>
  <w:endnote w:type="continuationNotice" w:id="1">
    <w:p w14:paraId="7527D674" w14:textId="77777777" w:rsidR="00FD0BB5" w:rsidRDefault="00FD0BB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E3FAF" w14:textId="77777777" w:rsidR="00FD0BB5" w:rsidRDefault="00FD0BB5" w:rsidP="001868B6">
      <w:pPr>
        <w:spacing w:after="0" w:line="240" w:lineRule="auto"/>
      </w:pPr>
      <w:r>
        <w:separator/>
      </w:r>
    </w:p>
  </w:footnote>
  <w:footnote w:type="continuationSeparator" w:id="0">
    <w:p w14:paraId="138FDB4B" w14:textId="77777777" w:rsidR="00FD0BB5" w:rsidRDefault="00FD0BB5" w:rsidP="001868B6">
      <w:pPr>
        <w:spacing w:after="0" w:line="240" w:lineRule="auto"/>
      </w:pPr>
      <w:r>
        <w:continuationSeparator/>
      </w:r>
    </w:p>
  </w:footnote>
  <w:footnote w:type="continuationNotice" w:id="1">
    <w:p w14:paraId="75F74F8F" w14:textId="77777777" w:rsidR="00FD0BB5" w:rsidRDefault="00FD0BB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200E8"/>
    <w:multiLevelType w:val="hybridMultilevel"/>
    <w:tmpl w:val="DC04014C"/>
    <w:lvl w:ilvl="0" w:tplc="B99C367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045C25"/>
    <w:multiLevelType w:val="hybridMultilevel"/>
    <w:tmpl w:val="9E1404D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6C32162B"/>
    <w:multiLevelType w:val="hybridMultilevel"/>
    <w:tmpl w:val="4F3AFC9E"/>
    <w:lvl w:ilvl="0" w:tplc="F5CC351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31E"/>
    <w:rsid w:val="00033AC7"/>
    <w:rsid w:val="00037738"/>
    <w:rsid w:val="000867CA"/>
    <w:rsid w:val="000C1484"/>
    <w:rsid w:val="000F1D06"/>
    <w:rsid w:val="00122825"/>
    <w:rsid w:val="00133A48"/>
    <w:rsid w:val="001460FF"/>
    <w:rsid w:val="001868B6"/>
    <w:rsid w:val="00192917"/>
    <w:rsid w:val="001B2C05"/>
    <w:rsid w:val="00225309"/>
    <w:rsid w:val="00226711"/>
    <w:rsid w:val="00270836"/>
    <w:rsid w:val="00282C7B"/>
    <w:rsid w:val="002D75AD"/>
    <w:rsid w:val="002D7787"/>
    <w:rsid w:val="00305C5F"/>
    <w:rsid w:val="00317AAE"/>
    <w:rsid w:val="0036203C"/>
    <w:rsid w:val="003948B6"/>
    <w:rsid w:val="003B5CDC"/>
    <w:rsid w:val="003D247C"/>
    <w:rsid w:val="004278E3"/>
    <w:rsid w:val="0044421F"/>
    <w:rsid w:val="00451958"/>
    <w:rsid w:val="0049454C"/>
    <w:rsid w:val="004F2AB5"/>
    <w:rsid w:val="00520D7A"/>
    <w:rsid w:val="005538CD"/>
    <w:rsid w:val="0055688C"/>
    <w:rsid w:val="00573549"/>
    <w:rsid w:val="005805CC"/>
    <w:rsid w:val="005D1AA1"/>
    <w:rsid w:val="005D2EF1"/>
    <w:rsid w:val="00651A2A"/>
    <w:rsid w:val="006900E3"/>
    <w:rsid w:val="00691069"/>
    <w:rsid w:val="006A6337"/>
    <w:rsid w:val="006B072E"/>
    <w:rsid w:val="007A3E57"/>
    <w:rsid w:val="007B0BE0"/>
    <w:rsid w:val="00807287"/>
    <w:rsid w:val="00810A16"/>
    <w:rsid w:val="008143BD"/>
    <w:rsid w:val="00815D71"/>
    <w:rsid w:val="008177CB"/>
    <w:rsid w:val="00850034"/>
    <w:rsid w:val="00874A19"/>
    <w:rsid w:val="00895C86"/>
    <w:rsid w:val="0089631E"/>
    <w:rsid w:val="008A1B7F"/>
    <w:rsid w:val="009301C6"/>
    <w:rsid w:val="00960BF9"/>
    <w:rsid w:val="009640BC"/>
    <w:rsid w:val="0096528C"/>
    <w:rsid w:val="009868DF"/>
    <w:rsid w:val="00A061C4"/>
    <w:rsid w:val="00A3337D"/>
    <w:rsid w:val="00A408EF"/>
    <w:rsid w:val="00A47794"/>
    <w:rsid w:val="00AA4C0C"/>
    <w:rsid w:val="00AA6E8B"/>
    <w:rsid w:val="00AA7E71"/>
    <w:rsid w:val="00AC1080"/>
    <w:rsid w:val="00AC23E0"/>
    <w:rsid w:val="00B25D49"/>
    <w:rsid w:val="00B4140A"/>
    <w:rsid w:val="00B57804"/>
    <w:rsid w:val="00B737FC"/>
    <w:rsid w:val="00C20EA3"/>
    <w:rsid w:val="00C21F66"/>
    <w:rsid w:val="00C57A9D"/>
    <w:rsid w:val="00D14DB0"/>
    <w:rsid w:val="00D40640"/>
    <w:rsid w:val="00D45004"/>
    <w:rsid w:val="00D45CE4"/>
    <w:rsid w:val="00D55C39"/>
    <w:rsid w:val="00D82F07"/>
    <w:rsid w:val="00DD10D0"/>
    <w:rsid w:val="00E34313"/>
    <w:rsid w:val="00E61E3D"/>
    <w:rsid w:val="00E704BE"/>
    <w:rsid w:val="00EC29FB"/>
    <w:rsid w:val="00ED763F"/>
    <w:rsid w:val="00F64516"/>
    <w:rsid w:val="00F775BC"/>
    <w:rsid w:val="00F90880"/>
    <w:rsid w:val="00F9531B"/>
    <w:rsid w:val="00FD0BB5"/>
    <w:rsid w:val="00FD76B0"/>
    <w:rsid w:val="19CD8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48F6BEF"/>
  <w15:docId w15:val="{9D3C6B13-30B7-47ED-B369-4203C484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8963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631E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631E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631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408E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408E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408EF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6A6337"/>
    <w:pPr>
      <w:spacing w:after="120" w:line="240" w:lineRule="auto"/>
      <w:ind w:left="283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A6337"/>
    <w:rPr>
      <w:rFonts w:ascii="Times New Roman" w:hAnsi="Times New Roman" w:cs="Times New Roman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2917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2917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D76B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DD1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D10D0"/>
  </w:style>
  <w:style w:type="paragraph" w:styleId="Stopka">
    <w:name w:val="footer"/>
    <w:basedOn w:val="Normalny"/>
    <w:link w:val="StopkaZnak"/>
    <w:uiPriority w:val="99"/>
    <w:semiHidden/>
    <w:unhideWhenUsed/>
    <w:rsid w:val="00DD1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D10D0"/>
  </w:style>
  <w:style w:type="paragraph" w:styleId="Poprawka">
    <w:name w:val="Revision"/>
    <w:hidden/>
    <w:uiPriority w:val="99"/>
    <w:semiHidden/>
    <w:rsid w:val="00B414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2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1192</Words>
  <Characters>7155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8331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Podleśny Katarzyna</cp:lastModifiedBy>
  <cp:revision>4</cp:revision>
  <dcterms:created xsi:type="dcterms:W3CDTF">2021-10-26T11:03:00Z</dcterms:created>
  <dcterms:modified xsi:type="dcterms:W3CDTF">2022-12-20T11:23:00Z</dcterms:modified>
</cp:coreProperties>
</file>